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90AA332" w14:textId="132A0F18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quando aplicável;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Default="00677D1B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A90C84" w:rsidRDefault="00A90C84" w:rsidP="00A90C84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ão é uma empresa em dificuldade, na aceção do artigo 2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, ponto 18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, do 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>Regulamento (UE) N</w:t>
      </w:r>
      <w:r>
        <w:rPr>
          <w:rFonts w:ascii="Calibri Light" w:hAnsi="Calibri Light" w:cs="Calibri Light"/>
          <w:spacing w:val="-5"/>
          <w:sz w:val="18"/>
          <w:szCs w:val="18"/>
        </w:rPr>
        <w:t>.º</w:t>
      </w:r>
      <w:r w:rsidRPr="00A90C84">
        <w:rPr>
          <w:rFonts w:ascii="Calibri Light" w:hAnsi="Calibri Light" w:cs="Calibri Light"/>
          <w:spacing w:val="-5"/>
          <w:sz w:val="18"/>
          <w:szCs w:val="18"/>
        </w:rPr>
        <w:t xml:space="preserve"> 651/2014 da Comissão (RGIC), </w:t>
      </w:r>
      <w:r>
        <w:rPr>
          <w:rFonts w:ascii="Calibri Light" w:hAnsi="Calibri Light" w:cs="Calibri Light"/>
          <w:spacing w:val="-5"/>
          <w:sz w:val="18"/>
          <w:szCs w:val="18"/>
        </w:rPr>
        <w:t>se aplicável;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Pr="0043663F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lastRenderedPageBreak/>
        <w:t>A operação está em conformidade com as disposições legais e regulamentares aplicáveis, designadamente a regulamentação específica;</w:t>
      </w:r>
    </w:p>
    <w:p w14:paraId="24D86AA7" w14:textId="0E451C8E" w:rsidR="002B2264" w:rsidRPr="002B2264" w:rsidRDefault="00664AF9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AG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3C3C2773" w:rsidR="00E94169" w:rsidRDefault="001C3CBA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</w:t>
      </w:r>
      <w:r w:rsidR="00C635FD">
        <w:rPr>
          <w:rFonts w:ascii="Calibri Light" w:hAnsi="Calibri Light" w:cs="Calibri Light"/>
          <w:spacing w:val="-5"/>
          <w:sz w:val="18"/>
          <w:szCs w:val="18"/>
        </w:rPr>
        <w:t>6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0 dias úteis </w:t>
      </w:r>
      <w:r w:rsidR="00C635FD" w:rsidRPr="00C635FD">
        <w:rPr>
          <w:rFonts w:ascii="Calibri Light" w:hAnsi="Calibri Light" w:cs="Calibri Light"/>
          <w:spacing w:val="-5"/>
          <w:sz w:val="18"/>
          <w:szCs w:val="18"/>
        </w:rPr>
        <w:t>após a comunicação da decisão de financiamento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, salvo por motivo devidamente fundamentado e aceite pela autoridade de gestão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28B78F9" w14:textId="69008C40" w:rsidR="00B30402" w:rsidRDefault="00431A6D" w:rsidP="00B30402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B5E0C">
        <w:rPr>
          <w:rFonts w:ascii="Calibri Light" w:hAnsi="Calibri Light" w:cs="Calibri Light"/>
          <w:spacing w:val="-5"/>
          <w:sz w:val="18"/>
          <w:szCs w:val="18"/>
        </w:rPr>
        <w:t>Está regist</w:t>
      </w:r>
      <w:r w:rsidR="00415DD8" w:rsidRPr="006B5E0C">
        <w:rPr>
          <w:rFonts w:ascii="Calibri Light" w:hAnsi="Calibri Light" w:cs="Calibri Light"/>
          <w:spacing w:val="-5"/>
          <w:sz w:val="18"/>
          <w:szCs w:val="18"/>
        </w:rPr>
        <w:t>ado</w:t>
      </w:r>
      <w:r w:rsidRPr="006B5E0C">
        <w:rPr>
          <w:rFonts w:ascii="Calibri Light" w:hAnsi="Calibri Light" w:cs="Calibri Light"/>
          <w:spacing w:val="-5"/>
          <w:sz w:val="18"/>
          <w:szCs w:val="18"/>
        </w:rPr>
        <w:t xml:space="preserve"> no Serviço Público de Notificações Eletrónicas (SPNE)</w:t>
      </w:r>
      <w:r w:rsidR="00B30402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4A27E301" w14:textId="77777777" w:rsidR="00AB3F98" w:rsidRDefault="00AB3F98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A113B0">
      <w:pPr>
        <w:spacing w:after="120" w:line="24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A113B0">
      <w:pPr>
        <w:spacing w:after="120" w:line="24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A113B0">
      <w:pPr>
        <w:spacing w:after="120" w:line="24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A113B0">
      <w:pPr>
        <w:spacing w:after="120" w:line="240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69E144FC" w14:textId="6ABEBA68" w:rsidR="00701457" w:rsidRPr="00A113B0" w:rsidRDefault="00292ADE" w:rsidP="00A113B0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 xml:space="preserve">Assinatura digital qualificada, com atributos profissionais suficientes para o ato, </w:t>
      </w:r>
      <w:r w:rsidR="009D71EB" w:rsidRPr="00701457">
        <w:rPr>
          <w:sz w:val="18"/>
          <w:szCs w:val="18"/>
        </w:rPr>
        <w:t>que comprove os poderes de representação do beneficiário pelo</w:t>
      </w:r>
      <w:r w:rsidR="009A50F2" w:rsidRPr="00701457">
        <w:rPr>
          <w:sz w:val="18"/>
          <w:szCs w:val="18"/>
        </w:rPr>
        <w:t>(s)</w:t>
      </w:r>
      <w:r w:rsidR="009D71EB" w:rsidRPr="00701457">
        <w:rPr>
          <w:sz w:val="18"/>
          <w:szCs w:val="18"/>
        </w:rPr>
        <w:t xml:space="preserve"> subscritor</w:t>
      </w:r>
      <w:r w:rsidR="009A50F2" w:rsidRPr="00701457">
        <w:rPr>
          <w:sz w:val="18"/>
          <w:szCs w:val="18"/>
        </w:rPr>
        <w:t>(</w:t>
      </w:r>
      <w:proofErr w:type="spellStart"/>
      <w:r w:rsidR="009A50F2" w:rsidRPr="00701457">
        <w:rPr>
          <w:sz w:val="18"/>
          <w:szCs w:val="18"/>
        </w:rPr>
        <w:t>es</w:t>
      </w:r>
      <w:proofErr w:type="spellEnd"/>
      <w:r w:rsidR="009A50F2" w:rsidRPr="00701457">
        <w:rPr>
          <w:sz w:val="18"/>
          <w:szCs w:val="18"/>
        </w:rPr>
        <w:t>)</w:t>
      </w:r>
      <w:r w:rsidR="00701457" w:rsidRPr="00701457">
        <w:rPr>
          <w:sz w:val="18"/>
          <w:szCs w:val="18"/>
        </w:rPr>
        <w:t xml:space="preserve">. Se e apenas quando sejam invocadas </w:t>
      </w:r>
      <w:r w:rsidR="00415DD8" w:rsidRPr="00701457">
        <w:rPr>
          <w:sz w:val="18"/>
          <w:szCs w:val="18"/>
        </w:rPr>
        <w:t>circunstâncias excecionais que o impeçam</w:t>
      </w:r>
      <w:r w:rsidR="00701457" w:rsidRPr="00701457">
        <w:rPr>
          <w:sz w:val="18"/>
          <w:szCs w:val="18"/>
        </w:rPr>
        <w:t>, poderá aceitar-se as seguintes alternativas:</w:t>
      </w:r>
      <w:r w:rsidR="00A113B0">
        <w:rPr>
          <w:sz w:val="18"/>
          <w:szCs w:val="18"/>
        </w:rPr>
        <w:t xml:space="preserve"> </w:t>
      </w:r>
      <w:r w:rsidR="0000222A">
        <w:rPr>
          <w:sz w:val="18"/>
          <w:szCs w:val="18"/>
        </w:rPr>
        <w:t>a)</w:t>
      </w:r>
      <w:r w:rsidR="00A113B0">
        <w:rPr>
          <w:sz w:val="18"/>
          <w:szCs w:val="18"/>
        </w:rPr>
        <w:t xml:space="preserve"> </w:t>
      </w:r>
      <w:r w:rsidR="00701457" w:rsidRPr="00701457">
        <w:rPr>
          <w:sz w:val="18"/>
          <w:szCs w:val="18"/>
        </w:rPr>
        <w:t xml:space="preserve">assinatura reconhecida, nos termos legais em vigor (reconhecimento com menção especial aos poderes para o ato, efetuado por notários, conservatórias, advogados, solicitadores, </w:t>
      </w:r>
      <w:proofErr w:type="spellStart"/>
      <w:r w:rsidR="00701457" w:rsidRPr="00701457">
        <w:rPr>
          <w:sz w:val="18"/>
          <w:szCs w:val="18"/>
        </w:rPr>
        <w:t>etc</w:t>
      </w:r>
      <w:proofErr w:type="spellEnd"/>
      <w:r w:rsidR="00701457" w:rsidRPr="00701457">
        <w:rPr>
          <w:sz w:val="18"/>
          <w:szCs w:val="18"/>
        </w:rPr>
        <w:t>);</w:t>
      </w:r>
      <w:r w:rsidR="00A113B0">
        <w:rPr>
          <w:sz w:val="18"/>
          <w:szCs w:val="18"/>
        </w:rPr>
        <w:t xml:space="preserve"> </w:t>
      </w:r>
      <w:r w:rsidR="0000222A">
        <w:rPr>
          <w:sz w:val="18"/>
          <w:szCs w:val="18"/>
        </w:rPr>
        <w:t>b)</w:t>
      </w:r>
      <w:r w:rsidR="00A113B0">
        <w:rPr>
          <w:sz w:val="18"/>
          <w:szCs w:val="18"/>
        </w:rPr>
        <w:t xml:space="preserve"> </w:t>
      </w:r>
      <w:r w:rsidR="00701457" w:rsidRPr="00701457">
        <w:rPr>
          <w:sz w:val="18"/>
          <w:szCs w:val="18"/>
        </w:rPr>
        <w:t>assinatura digital simples com o C</w:t>
      </w:r>
      <w:r w:rsidR="00701457">
        <w:rPr>
          <w:sz w:val="18"/>
          <w:szCs w:val="18"/>
        </w:rPr>
        <w:t>artão de Cidadão/Chave Móvel Digital</w:t>
      </w:r>
      <w:r w:rsidR="00701457" w:rsidRPr="00701457">
        <w:rPr>
          <w:sz w:val="18"/>
          <w:szCs w:val="18"/>
        </w:rPr>
        <w:t>, acompanhada de documento habilitante (</w:t>
      </w:r>
      <w:r w:rsidR="00701457">
        <w:rPr>
          <w:sz w:val="18"/>
          <w:szCs w:val="18"/>
        </w:rPr>
        <w:t xml:space="preserve">delegação de competências; </w:t>
      </w:r>
      <w:r w:rsidR="00701457" w:rsidRPr="00701457">
        <w:rPr>
          <w:sz w:val="18"/>
          <w:szCs w:val="18"/>
        </w:rPr>
        <w:t>no caso das empresas</w:t>
      </w:r>
      <w:r w:rsidR="00A113B0">
        <w:rPr>
          <w:sz w:val="18"/>
          <w:szCs w:val="18"/>
        </w:rPr>
        <w:t xml:space="preserve">, forma de obrigar identificar na </w:t>
      </w:r>
      <w:r w:rsidR="00701457" w:rsidRPr="00701457">
        <w:rPr>
          <w:sz w:val="18"/>
          <w:szCs w:val="18"/>
        </w:rPr>
        <w:t>Certidão Permanente)</w:t>
      </w:r>
      <w:r w:rsidR="00A113B0">
        <w:rPr>
          <w:sz w:val="18"/>
          <w:szCs w:val="18"/>
        </w:rPr>
        <w:t>.</w:t>
      </w:r>
    </w:p>
    <w:p w14:paraId="48A05946" w14:textId="08E27DC1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</w:p>
    <w:p w14:paraId="7441C399" w14:textId="77777777" w:rsidR="00292ADE" w:rsidRPr="00F21828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sz w:val="18"/>
          <w:szCs w:val="18"/>
        </w:rPr>
        <w:t>* Selecionar a alternativa aplicável.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22C1"/>
    <w:multiLevelType w:val="hybridMultilevel"/>
    <w:tmpl w:val="65FCD6E2"/>
    <w:lvl w:ilvl="0" w:tplc="07943D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5825"/>
    <w:multiLevelType w:val="hybridMultilevel"/>
    <w:tmpl w:val="65FCD6E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  <w:num w:numId="2" w16cid:durableId="239796476">
    <w:abstractNumId w:val="1"/>
  </w:num>
  <w:num w:numId="3" w16cid:durableId="145571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0222A"/>
    <w:rsid w:val="000E6F6B"/>
    <w:rsid w:val="00104B36"/>
    <w:rsid w:val="0013109F"/>
    <w:rsid w:val="00191871"/>
    <w:rsid w:val="001A464A"/>
    <w:rsid w:val="001C3CBA"/>
    <w:rsid w:val="001E2B42"/>
    <w:rsid w:val="001F0FBF"/>
    <w:rsid w:val="00292ADE"/>
    <w:rsid w:val="002A3BBB"/>
    <w:rsid w:val="002B2264"/>
    <w:rsid w:val="002B344F"/>
    <w:rsid w:val="002E56DC"/>
    <w:rsid w:val="003032D2"/>
    <w:rsid w:val="003478F5"/>
    <w:rsid w:val="003579F5"/>
    <w:rsid w:val="00367D91"/>
    <w:rsid w:val="00415DD8"/>
    <w:rsid w:val="00431A6D"/>
    <w:rsid w:val="00434420"/>
    <w:rsid w:val="0043663F"/>
    <w:rsid w:val="00450FC2"/>
    <w:rsid w:val="004B2596"/>
    <w:rsid w:val="005762C9"/>
    <w:rsid w:val="005B63FA"/>
    <w:rsid w:val="00627DFC"/>
    <w:rsid w:val="00664AF9"/>
    <w:rsid w:val="00677D1B"/>
    <w:rsid w:val="00691B25"/>
    <w:rsid w:val="006A0FB8"/>
    <w:rsid w:val="006B5E0C"/>
    <w:rsid w:val="006B648A"/>
    <w:rsid w:val="006B716B"/>
    <w:rsid w:val="006E49CE"/>
    <w:rsid w:val="00701457"/>
    <w:rsid w:val="00721C6A"/>
    <w:rsid w:val="007536C0"/>
    <w:rsid w:val="0079058C"/>
    <w:rsid w:val="007D3AE6"/>
    <w:rsid w:val="007F13F4"/>
    <w:rsid w:val="007F1FB4"/>
    <w:rsid w:val="007F31B2"/>
    <w:rsid w:val="007F360F"/>
    <w:rsid w:val="00844BFD"/>
    <w:rsid w:val="009A50F2"/>
    <w:rsid w:val="009D71EB"/>
    <w:rsid w:val="00A005D6"/>
    <w:rsid w:val="00A03132"/>
    <w:rsid w:val="00A113B0"/>
    <w:rsid w:val="00A77640"/>
    <w:rsid w:val="00A90C84"/>
    <w:rsid w:val="00A9219C"/>
    <w:rsid w:val="00A95436"/>
    <w:rsid w:val="00AB3F98"/>
    <w:rsid w:val="00AB7D2F"/>
    <w:rsid w:val="00AC63A7"/>
    <w:rsid w:val="00AE06AB"/>
    <w:rsid w:val="00B24414"/>
    <w:rsid w:val="00B30402"/>
    <w:rsid w:val="00B6451F"/>
    <w:rsid w:val="00B83731"/>
    <w:rsid w:val="00BB772B"/>
    <w:rsid w:val="00C10F13"/>
    <w:rsid w:val="00C635FD"/>
    <w:rsid w:val="00CB3F39"/>
    <w:rsid w:val="00CC4EF7"/>
    <w:rsid w:val="00CE16FE"/>
    <w:rsid w:val="00CF3768"/>
    <w:rsid w:val="00D57028"/>
    <w:rsid w:val="00DA18DB"/>
    <w:rsid w:val="00DC417D"/>
    <w:rsid w:val="00DF4060"/>
    <w:rsid w:val="00E1538B"/>
    <w:rsid w:val="00E160DF"/>
    <w:rsid w:val="00E34274"/>
    <w:rsid w:val="00E621F3"/>
    <w:rsid w:val="00E94169"/>
    <w:rsid w:val="00EE0977"/>
    <w:rsid w:val="00EE367E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STPessoas</cp:lastModifiedBy>
  <cp:revision>7</cp:revision>
  <dcterms:created xsi:type="dcterms:W3CDTF">2024-10-29T12:48:00Z</dcterms:created>
  <dcterms:modified xsi:type="dcterms:W3CDTF">2024-10-30T21:16:00Z</dcterms:modified>
</cp:coreProperties>
</file>