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326DABFD" w:rsidR="007F13F4" w:rsidRPr="00EB6529" w:rsidRDefault="00F54EFD" w:rsidP="001D7DE3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Default="007F13F4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8D26FA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1F1ABEDB" w14:textId="77777777" w:rsidR="00807EEF" w:rsidRDefault="00F54EFD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9B5C38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,</w:t>
      </w:r>
      <w:r w:rsidR="009B5C38" w:rsidRPr="009B5C38">
        <w:t xml:space="preserve"> 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tendo em conta o princípio do poluidor-pagador e o princípio «não prejudicar significativamente» (DNSH - “Do No Significant Harm”), não apoiando ou realizando atividades que causem danos significativos a qualquer objetivo ambiental na aceção do artigo 17.º do Regulamento (UE) 2020/852 do Parlamento Europeu e do Conselho, de 18 de junho de 2020;</w:t>
      </w:r>
    </w:p>
    <w:p w14:paraId="5A61B266" w14:textId="41B16386" w:rsidR="00027191" w:rsidRPr="00807EEF" w:rsidRDefault="00027191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07EEF">
        <w:rPr>
          <w:rFonts w:ascii="Calibri Light" w:hAnsi="Calibri Light" w:cs="Calibri Light"/>
          <w:spacing w:val="-5"/>
          <w:sz w:val="18"/>
          <w:szCs w:val="18"/>
        </w:rPr>
        <w:t>Garantir a resistência às alterações climáticas dos investimentos em infraestruturas com um prazo de vida útil previsto de, pelo menos, cinco anos, de acordo com o definido no Regulamento (UE) n.º 2021/1060 do Parlamento Europeu e do Conselho, de 24 de junho, se aplicável</w:t>
      </w:r>
      <w:r w:rsidR="00807EE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7583BFCB" w:rsidR="007F13F4" w:rsidRPr="00191871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651E4142" w14:textId="77777777" w:rsidR="002E5552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1D7DE3" w:rsidRDefault="007F1FB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39A9FB4E" w:rsidR="00BD6490" w:rsidRPr="001D7DE3" w:rsidRDefault="00BD6490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38E12576" w14:textId="305A81C5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de 22 de março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lastRenderedPageBreak/>
        <w:t>Não tem pendente processo de injunção de recuperação de auxílios ilegais, nos termos da regulamentação europeia;</w:t>
      </w:r>
    </w:p>
    <w:p w14:paraId="544350C3" w14:textId="3B593145" w:rsidR="00677D1B" w:rsidRPr="001D7DE3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1D7DE3" w:rsidRDefault="00A90C8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é uma empresa em dificuldade, na aceção do artigo 2.º, ponto 18, do Regulamento (UE) N.º 651/2014 da Comissão (RGIC), se aplicável;</w:t>
      </w:r>
    </w:p>
    <w:p w14:paraId="51F1DA1F" w14:textId="77777777" w:rsidR="007F13F4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D55B45" w:rsidRDefault="00D55B45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55B45">
        <w:rPr>
          <w:rFonts w:ascii="Calibri Light" w:hAnsi="Calibri Light" w:cs="Calibri Light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677D1B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677D1B">
        <w:rPr>
          <w:rFonts w:ascii="Calibri Light" w:hAnsi="Calibri Light" w:cs="Calibri Light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i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) 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pelo arranque ou pelo arranque e execução da operação, designadamente através de outras entidades;</w:t>
      </w:r>
    </w:p>
    <w:p w14:paraId="6197E57E" w14:textId="53463280" w:rsid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 xml:space="preserve">ii) 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29EB335D" w14:textId="14BC57B8" w:rsidR="00677D1B" w:rsidRPr="0043663F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</w:t>
      </w:r>
      <w:r w:rsidR="00BD6490">
        <w:rPr>
          <w:rFonts w:ascii="Calibri Light" w:hAnsi="Calibri Light" w:cs="Calibri Light"/>
          <w:spacing w:val="-5"/>
          <w:sz w:val="18"/>
          <w:szCs w:val="18"/>
        </w:rPr>
        <w:t xml:space="preserve">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candidatura;</w:t>
      </w:r>
    </w:p>
    <w:p w14:paraId="1D212B15" w14:textId="26E3ACA4" w:rsidR="002B2264" w:rsidRPr="0043663F" w:rsidRDefault="0043663F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foi(ram)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>
        <w:rPr>
          <w:rFonts w:ascii="Calibri Light" w:hAnsi="Calibri Light" w:cs="Calibri Light"/>
          <w:spacing w:val="-5"/>
          <w:sz w:val="18"/>
          <w:szCs w:val="18"/>
        </w:rPr>
        <w:t xml:space="preserve"> e legislação ambiental aplicáveis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4D86AA7" w14:textId="1E653234" w:rsidR="002B2264" w:rsidRPr="002B2264" w:rsidRDefault="00664AF9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C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>umpre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(m)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>
        <w:rPr>
          <w:rFonts w:ascii="Calibri Light" w:hAnsi="Calibri Light" w:cs="Calibri Light"/>
          <w:spacing w:val="-5"/>
          <w:sz w:val="18"/>
          <w:szCs w:val="18"/>
        </w:rPr>
        <w:t>utoridade de Gestão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2B2264"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4F4F2B9" w14:textId="18662501" w:rsidR="00E94169" w:rsidRDefault="001C3CBA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A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utoridade de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G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estão</w:t>
      </w:r>
      <w:r w:rsidR="00B31479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73EB9606" w14:textId="3F10F734" w:rsidR="008A3EA7" w:rsidRPr="008A3EA7" w:rsidRDefault="008A3EA7" w:rsidP="008A3EA7">
      <w:pPr>
        <w:pStyle w:val="PargrafodaLista"/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>No que respeita à contratação pública ecológica:</w:t>
      </w:r>
    </w:p>
    <w:p w14:paraId="577F1DE7" w14:textId="2118E8D2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.1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1F8BD44D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.2 Caso se trate de outras entidades públicas ou privadas sem fins lucrativos, adota, sempre que possível, as boas práticas do </w:t>
      </w:r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492DCC51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.3 No caso de considerar não ser aplicável ou possível assegurar o cumprimento dos princípios e boas práticas referidos nas alíneas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.1 e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Pr="008A3EA7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CCE4FB8" w14:textId="4EA0F582" w:rsidR="008A3EA7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4087D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green public procurement</w:t>
      </w:r>
      <w:r w:rsidRPr="004408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7D66E2C0" w14:textId="77777777" w:rsidR="0044087D" w:rsidRPr="0044087D" w:rsidRDefault="0044087D" w:rsidP="0044087D">
      <w:pPr>
        <w:pStyle w:val="PargrafodaLista"/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</w:p>
    <w:p w14:paraId="5AFD16C4" w14:textId="04B1E7C0" w:rsidR="00F54EFD" w:rsidRDefault="00CA208A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>Mais declara</w:t>
      </w:r>
      <w:r w:rsidR="009F1051"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que 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a memória descri</w:t>
      </w:r>
      <w:r w:rsidR="00940FE9">
        <w:rPr>
          <w:rFonts w:ascii="Calibri Light" w:eastAsia="Calibri" w:hAnsi="Calibri Light" w:cs="Calibri Light"/>
          <w:spacing w:val="-5"/>
          <w:sz w:val="18"/>
          <w:szCs w:val="18"/>
        </w:rPr>
        <w:t xml:space="preserve">tiva e o orçamento 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>que instru</w:t>
      </w:r>
      <w:r w:rsidR="00940FE9">
        <w:rPr>
          <w:rFonts w:ascii="Calibri Light" w:eastAsia="Calibri" w:hAnsi="Calibri Light" w:cs="Calibri Light"/>
          <w:spacing w:val="-5"/>
          <w:sz w:val="18"/>
          <w:szCs w:val="18"/>
        </w:rPr>
        <w:t>em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a candidatura est</w:t>
      </w:r>
      <w:r w:rsidR="00940FE9">
        <w:rPr>
          <w:rFonts w:ascii="Calibri Light" w:eastAsia="Calibri" w:hAnsi="Calibri Light" w:cs="Calibri Light"/>
          <w:spacing w:val="-5"/>
          <w:sz w:val="18"/>
          <w:szCs w:val="18"/>
        </w:rPr>
        <w:t>ão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em conformidade com </w:t>
      </w:r>
      <w:r w:rsidR="00940FE9">
        <w:rPr>
          <w:rFonts w:ascii="Calibri Light" w:eastAsia="Calibri" w:hAnsi="Calibri Light" w:cs="Calibri Light"/>
          <w:spacing w:val="-5"/>
          <w:sz w:val="18"/>
          <w:szCs w:val="18"/>
        </w:rPr>
        <w:t>os documentos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que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 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>fo</w:t>
      </w:r>
      <w:r w:rsidR="00940FE9">
        <w:rPr>
          <w:rFonts w:ascii="Calibri Light" w:eastAsia="Calibri" w:hAnsi="Calibri Light" w:cs="Calibri Light"/>
          <w:spacing w:val="-5"/>
          <w:sz w:val="18"/>
          <w:szCs w:val="18"/>
        </w:rPr>
        <w:t>ram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 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>enviad</w:t>
      </w:r>
      <w:r w:rsidR="00940FE9">
        <w:rPr>
          <w:rFonts w:ascii="Calibri Light" w:eastAsia="Calibri" w:hAnsi="Calibri Light" w:cs="Calibri Light"/>
          <w:spacing w:val="-5"/>
          <w:sz w:val="18"/>
          <w:szCs w:val="18"/>
        </w:rPr>
        <w:t>os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à </w:t>
      </w:r>
      <w:r w:rsidR="00E75843">
        <w:rPr>
          <w:rFonts w:ascii="Calibri Light" w:eastAsia="Calibri" w:hAnsi="Calibri Light" w:cs="Calibri Light"/>
          <w:spacing w:val="-5"/>
          <w:sz w:val="18"/>
          <w:szCs w:val="18"/>
        </w:rPr>
        <w:t>Agência Portuguesa do Ambiente, I.P,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para emissão de parecer</w:t>
      </w:r>
      <w:r w:rsidR="00E75843">
        <w:rPr>
          <w:rFonts w:ascii="Calibri Light" w:eastAsia="Calibri" w:hAnsi="Calibri Light" w:cs="Calibri Light"/>
          <w:spacing w:val="-5"/>
          <w:sz w:val="18"/>
          <w:szCs w:val="18"/>
        </w:rPr>
        <w:t>.</w:t>
      </w:r>
    </w:p>
    <w:p w14:paraId="5B2425F1" w14:textId="77777777" w:rsidR="0044087D" w:rsidRDefault="0044087D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1A6EBF81" w14:textId="545FBFB5" w:rsidR="001D7DE3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6B09E831" w14:textId="77777777" w:rsidR="009B5C38" w:rsidRDefault="009B5C38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sectPr w:rsidR="009B5C38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13B65" w14:textId="77777777" w:rsidR="005B453F" w:rsidRDefault="005B453F" w:rsidP="00104B36">
      <w:pPr>
        <w:spacing w:after="0" w:line="240" w:lineRule="auto"/>
      </w:pPr>
      <w:r>
        <w:separator/>
      </w:r>
    </w:p>
  </w:endnote>
  <w:endnote w:type="continuationSeparator" w:id="0">
    <w:p w14:paraId="4A9CB1A2" w14:textId="77777777" w:rsidR="005B453F" w:rsidRDefault="005B453F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3DD01EFE" w14:textId="37E5063F" w:rsidR="00292ADE" w:rsidRPr="00BD6490" w:rsidRDefault="00292ADE" w:rsidP="00BD6490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</w:t>
      </w:r>
      <w:r w:rsidR="009D71EB" w:rsidRPr="00A47784">
        <w:rPr>
          <w:rFonts w:asciiTheme="majorHAnsi" w:hAnsiTheme="majorHAnsi" w:cstheme="majorHAnsi"/>
          <w:sz w:val="16"/>
          <w:szCs w:val="16"/>
        </w:rPr>
        <w:t>Assinatura digital qualificada, com atributos profissionais suficientes para o ato, que comprove os poderes de representação do beneficiário pelo</w:t>
      </w:r>
      <w:r w:rsidR="009A50F2" w:rsidRPr="00A47784">
        <w:rPr>
          <w:rFonts w:asciiTheme="majorHAnsi" w:hAnsiTheme="majorHAnsi" w:cstheme="majorHAnsi"/>
          <w:sz w:val="16"/>
          <w:szCs w:val="16"/>
        </w:rPr>
        <w:t>(s)</w:t>
      </w:r>
      <w:r w:rsidR="009D71EB" w:rsidRPr="00A47784">
        <w:rPr>
          <w:rFonts w:asciiTheme="majorHAnsi" w:hAnsiTheme="majorHAnsi" w:cstheme="majorHAnsi"/>
          <w:sz w:val="16"/>
          <w:szCs w:val="16"/>
        </w:rPr>
        <w:t xml:space="preserve"> subscritor</w:t>
      </w:r>
      <w:r w:rsidR="009A50F2" w:rsidRPr="00A47784">
        <w:rPr>
          <w:rFonts w:asciiTheme="majorHAnsi" w:hAnsiTheme="majorHAnsi" w:cstheme="majorHAnsi"/>
          <w:sz w:val="16"/>
          <w:szCs w:val="16"/>
        </w:rPr>
        <w:t>(es)</w:t>
      </w:r>
      <w:r w:rsidR="009D71EB" w:rsidRPr="00A47784">
        <w:rPr>
          <w:rFonts w:asciiTheme="majorHAnsi" w:hAnsiTheme="majorHAnsi" w:cstheme="maj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5BE37" w14:textId="77777777" w:rsidR="005B453F" w:rsidRDefault="005B453F" w:rsidP="00104B36">
      <w:pPr>
        <w:spacing w:after="0" w:line="240" w:lineRule="auto"/>
      </w:pPr>
      <w:r>
        <w:separator/>
      </w:r>
    </w:p>
  </w:footnote>
  <w:footnote w:type="continuationSeparator" w:id="0">
    <w:p w14:paraId="3B06EAC2" w14:textId="77777777" w:rsidR="005B453F" w:rsidRDefault="005B453F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0C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7197974">
    <w:abstractNumId w:val="1"/>
  </w:num>
  <w:num w:numId="2" w16cid:durableId="587035798">
    <w:abstractNumId w:val="0"/>
  </w:num>
  <w:num w:numId="3" w16cid:durableId="271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27191"/>
    <w:rsid w:val="00061B12"/>
    <w:rsid w:val="000E6F6B"/>
    <w:rsid w:val="00104B36"/>
    <w:rsid w:val="0013109F"/>
    <w:rsid w:val="00191871"/>
    <w:rsid w:val="001A464A"/>
    <w:rsid w:val="001C3CBA"/>
    <w:rsid w:val="001D7DE3"/>
    <w:rsid w:val="001E2B42"/>
    <w:rsid w:val="001F0FBF"/>
    <w:rsid w:val="00267A50"/>
    <w:rsid w:val="00292ADE"/>
    <w:rsid w:val="002B2264"/>
    <w:rsid w:val="002B344F"/>
    <w:rsid w:val="002E5552"/>
    <w:rsid w:val="003478F5"/>
    <w:rsid w:val="003579F5"/>
    <w:rsid w:val="00367D91"/>
    <w:rsid w:val="003B7F5A"/>
    <w:rsid w:val="0043663F"/>
    <w:rsid w:val="0044087D"/>
    <w:rsid w:val="00450FC2"/>
    <w:rsid w:val="004B2596"/>
    <w:rsid w:val="004D550D"/>
    <w:rsid w:val="004F112F"/>
    <w:rsid w:val="005762C9"/>
    <w:rsid w:val="00580E83"/>
    <w:rsid w:val="005B453F"/>
    <w:rsid w:val="005B63FA"/>
    <w:rsid w:val="00627DFC"/>
    <w:rsid w:val="006626F3"/>
    <w:rsid w:val="00664AF9"/>
    <w:rsid w:val="00670FC4"/>
    <w:rsid w:val="00677D1B"/>
    <w:rsid w:val="00691B25"/>
    <w:rsid w:val="006B648A"/>
    <w:rsid w:val="0072059E"/>
    <w:rsid w:val="00721C6A"/>
    <w:rsid w:val="00766428"/>
    <w:rsid w:val="007A56C6"/>
    <w:rsid w:val="007D3AE6"/>
    <w:rsid w:val="007F13F4"/>
    <w:rsid w:val="007F1FB4"/>
    <w:rsid w:val="007F2240"/>
    <w:rsid w:val="007F31B2"/>
    <w:rsid w:val="007F41B1"/>
    <w:rsid w:val="00807EEF"/>
    <w:rsid w:val="008A3EA7"/>
    <w:rsid w:val="008D26FA"/>
    <w:rsid w:val="00940FE9"/>
    <w:rsid w:val="009A50F2"/>
    <w:rsid w:val="009B5C38"/>
    <w:rsid w:val="009D71EB"/>
    <w:rsid w:val="009F1051"/>
    <w:rsid w:val="00A03132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2873"/>
    <w:rsid w:val="00B6451F"/>
    <w:rsid w:val="00B83473"/>
    <w:rsid w:val="00BB772B"/>
    <w:rsid w:val="00BD6490"/>
    <w:rsid w:val="00C02B8F"/>
    <w:rsid w:val="00C421BB"/>
    <w:rsid w:val="00CA208A"/>
    <w:rsid w:val="00CB3F39"/>
    <w:rsid w:val="00CC4EF7"/>
    <w:rsid w:val="00CE16FE"/>
    <w:rsid w:val="00D55B45"/>
    <w:rsid w:val="00D57028"/>
    <w:rsid w:val="00DA18DB"/>
    <w:rsid w:val="00DC417D"/>
    <w:rsid w:val="00E1538B"/>
    <w:rsid w:val="00E160DF"/>
    <w:rsid w:val="00E621F3"/>
    <w:rsid w:val="00E75843"/>
    <w:rsid w:val="00E768CA"/>
    <w:rsid w:val="00E94169"/>
    <w:rsid w:val="00EB7E08"/>
    <w:rsid w:val="00EE367E"/>
    <w:rsid w:val="00F15AE8"/>
    <w:rsid w:val="00F165FC"/>
    <w:rsid w:val="00F20B64"/>
    <w:rsid w:val="00F21828"/>
    <w:rsid w:val="00F54EFD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customStyle="1" w:styleId="Default">
    <w:name w:val="Default"/>
    <w:rsid w:val="00027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1327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26</cp:revision>
  <dcterms:created xsi:type="dcterms:W3CDTF">2023-11-07T16:54:00Z</dcterms:created>
  <dcterms:modified xsi:type="dcterms:W3CDTF">2024-08-05T16:27:00Z</dcterms:modified>
</cp:coreProperties>
</file>